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9DC6" w14:textId="29B2B9AA" w:rsidR="00B41945" w:rsidRDefault="00B41945" w:rsidP="00B41945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Description of </w:t>
      </w:r>
      <w:r w:rsidRPr="00B41945">
        <w:rPr>
          <w:sz w:val="36"/>
          <w:szCs w:val="36"/>
        </w:rPr>
        <w:t>baptism and burial data for Durham Parishes</w:t>
      </w:r>
    </w:p>
    <w:p w14:paraId="393A7C4B" w14:textId="0FCA78D7" w:rsidR="00410FBE" w:rsidRDefault="00410FBE" w:rsidP="00410FBE">
      <w:pPr>
        <w:pStyle w:val="Heading2"/>
      </w:pPr>
      <w:r>
        <w:t>Why were these data collected?</w:t>
      </w:r>
    </w:p>
    <w:p w14:paraId="432E063D" w14:textId="5610ED64" w:rsidR="00517A4A" w:rsidRDefault="00410FBE" w:rsidP="00410FBE">
      <w:r>
        <w:t xml:space="preserve">The records were used to answer the question: </w:t>
      </w:r>
      <w:r w:rsidR="0077518C">
        <w:t>In the past, did</w:t>
      </w:r>
      <w:r>
        <w:t xml:space="preserve"> particularly cold winters result in excess mortality? The</w:t>
      </w:r>
      <w:r w:rsidR="006D3E3D">
        <w:t xml:space="preserve"> records of baptisms and deaths </w:t>
      </w:r>
      <w:r>
        <w:t>were combined with monthly mean temperature records collected from Durham City</w:t>
      </w:r>
      <w:r w:rsidR="006D3E3D">
        <w:t xml:space="preserve"> recorded </w:t>
      </w:r>
      <w:r w:rsidR="00517A4A">
        <w:t>in the nineteenth and twentieth century</w:t>
      </w:r>
      <w:r w:rsidR="006D3E3D">
        <w:t xml:space="preserve">. </w:t>
      </w:r>
      <w:r w:rsidR="00517A4A">
        <w:t>Baptisms served as a proxy for births and burials for deaths.</w:t>
      </w:r>
    </w:p>
    <w:p w14:paraId="7175A4C6" w14:textId="41D5D2A5" w:rsidR="006D3E3D" w:rsidRDefault="00523372" w:rsidP="00410FBE">
      <w:r>
        <w:t>Mean and minimum monthly temperatures</w:t>
      </w:r>
      <w:r w:rsidR="008B326E">
        <w:t>, in degrees centigrade,</w:t>
      </w:r>
      <w:r>
        <w:t xml:space="preserve"> </w:t>
      </w:r>
      <w:r w:rsidR="008B326E">
        <w:t>we</w:t>
      </w:r>
      <w:r>
        <w:t>re also recorded for Durham City from 1850 to 199</w:t>
      </w:r>
      <w:r w:rsidR="008B326E">
        <w:t>9</w:t>
      </w:r>
      <w:r>
        <w:t xml:space="preserve">. </w:t>
      </w:r>
      <w:r w:rsidR="00F222DF">
        <w:t xml:space="preserve">The relationship between </w:t>
      </w:r>
      <w:r w:rsidR="006D3E3D">
        <w:t xml:space="preserve">monthly Durham temperatures </w:t>
      </w:r>
      <w:r w:rsidR="00F222DF">
        <w:t>and</w:t>
      </w:r>
      <w:r w:rsidR="006D3E3D">
        <w:t xml:space="preserve"> Central England Temperatures </w:t>
      </w:r>
      <w:r w:rsidR="00F222DF">
        <w:t xml:space="preserve">(not included in these data) was captured statistically using linear regression analysis and used to compute missing data in the Durham records i.e. pre-1850. </w:t>
      </w:r>
    </w:p>
    <w:p w14:paraId="2BF69CFA" w14:textId="2A70AF64" w:rsidR="006D3E3D" w:rsidRDefault="006D3E3D" w:rsidP="006D3E3D">
      <w:pPr>
        <w:pStyle w:val="Heading2"/>
      </w:pPr>
      <w:r>
        <w:t>Who collected the data?</w:t>
      </w:r>
    </w:p>
    <w:p w14:paraId="1D047C3C" w14:textId="6ED0225F" w:rsidR="006D3E3D" w:rsidRDefault="006D3E3D" w:rsidP="006D3E3D">
      <w:r>
        <w:t>Durham 3</w:t>
      </w:r>
      <w:r w:rsidRPr="006D3E3D">
        <w:rPr>
          <w:vertAlign w:val="superscript"/>
        </w:rPr>
        <w:t>rd</w:t>
      </w:r>
      <w:r>
        <w:t xml:space="preserve"> Year students in the Department of Biological and Biomedical Sciences (now Department of Biosciences) as part of their research projects. </w:t>
      </w:r>
      <w:r w:rsidR="00B071E2">
        <w:t xml:space="preserve">The data were collected </w:t>
      </w:r>
      <w:r w:rsidR="002B7567">
        <w:t xml:space="preserve">by Alice Eyers, </w:t>
      </w:r>
      <w:r w:rsidR="00F222DF">
        <w:t xml:space="preserve">Justina Fish, Aisla Jones, Charlotte Keyte, </w:t>
      </w:r>
      <w:r w:rsidR="002B7567">
        <w:t>Roman Roth</w:t>
      </w:r>
      <w:r w:rsidR="00F222DF">
        <w:t xml:space="preserve"> and Alex Wales between</w:t>
      </w:r>
      <w:r w:rsidR="00F222DF">
        <w:t xml:space="preserve"> 2001-2014</w:t>
      </w:r>
      <w:r w:rsidR="00976AE0">
        <w:t xml:space="preserve"> under the supervision of Prof Steve Lindsay</w:t>
      </w:r>
      <w:r w:rsidR="00F222DF">
        <w:t>.</w:t>
      </w:r>
    </w:p>
    <w:p w14:paraId="71B5DE55" w14:textId="77777777" w:rsidR="006D3E3D" w:rsidRDefault="006D3E3D" w:rsidP="006D3E3D">
      <w:pPr>
        <w:pStyle w:val="Heading2"/>
      </w:pPr>
      <w:r>
        <w:t>How were the data collected?</w:t>
      </w:r>
    </w:p>
    <w:p w14:paraId="10D7DAEC" w14:textId="47C4718D" w:rsidR="00410FBE" w:rsidRDefault="006D3E3D" w:rsidP="006D3E3D">
      <w:r>
        <w:t xml:space="preserve">Students searched microfiche records of the Parish records that were available in County Hall in Durham and transcribed them </w:t>
      </w:r>
      <w:r w:rsidR="00F222DF">
        <w:t xml:space="preserve">directly </w:t>
      </w:r>
      <w:r>
        <w:t>to an Excel Spreadsheet.</w:t>
      </w:r>
    </w:p>
    <w:p w14:paraId="1A61A28D" w14:textId="22011E8C" w:rsidR="006D3E3D" w:rsidRDefault="006D3E3D" w:rsidP="006D3E3D">
      <w:pPr>
        <w:pStyle w:val="Heading2"/>
      </w:pPr>
      <w:r>
        <w:t>What was the information collected?</w:t>
      </w:r>
    </w:p>
    <w:p w14:paraId="38901E1C" w14:textId="59852939" w:rsidR="006D3E3D" w:rsidRPr="00410FBE" w:rsidRDefault="00517A4A" w:rsidP="00410FBE">
      <w:r>
        <w:t>The number of monthly baptisms (births) and burials (deaths) were recorded for the following parishes in Durham City.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B41945" w14:paraId="51EC555F" w14:textId="77777777" w:rsidTr="00F222DF">
        <w:tc>
          <w:tcPr>
            <w:tcW w:w="3256" w:type="dxa"/>
            <w:shd w:val="clear" w:color="auto" w:fill="FAE2D5" w:themeFill="accent2" w:themeFillTint="33"/>
          </w:tcPr>
          <w:p w14:paraId="3A154E4A" w14:textId="76F70314" w:rsidR="00B41945" w:rsidRDefault="00B41945" w:rsidP="00B41945">
            <w:r>
              <w:t>Parish</w:t>
            </w:r>
          </w:p>
        </w:tc>
        <w:tc>
          <w:tcPr>
            <w:tcW w:w="2754" w:type="dxa"/>
            <w:shd w:val="clear" w:color="auto" w:fill="FAE2D5" w:themeFill="accent2" w:themeFillTint="33"/>
          </w:tcPr>
          <w:p w14:paraId="5E693E54" w14:textId="118E74BB" w:rsidR="00B41945" w:rsidRDefault="00B41945" w:rsidP="00B41945">
            <w:r>
              <w:t xml:space="preserve">Start </w:t>
            </w:r>
          </w:p>
        </w:tc>
        <w:tc>
          <w:tcPr>
            <w:tcW w:w="3006" w:type="dxa"/>
            <w:shd w:val="clear" w:color="auto" w:fill="FAE2D5" w:themeFill="accent2" w:themeFillTint="33"/>
          </w:tcPr>
          <w:p w14:paraId="0689075E" w14:textId="4A85387A" w:rsidR="00B41945" w:rsidRDefault="00B41945" w:rsidP="00B41945">
            <w:r>
              <w:t>Finish</w:t>
            </w:r>
          </w:p>
        </w:tc>
      </w:tr>
      <w:tr w:rsidR="00586688" w14:paraId="04CDD220" w14:textId="77777777" w:rsidTr="00586688">
        <w:tc>
          <w:tcPr>
            <w:tcW w:w="9016" w:type="dxa"/>
            <w:gridSpan w:val="3"/>
            <w:shd w:val="clear" w:color="auto" w:fill="C1E4F5" w:themeFill="accent1" w:themeFillTint="33"/>
          </w:tcPr>
          <w:p w14:paraId="6ED1E1BC" w14:textId="2D0022AD" w:rsidR="00586688" w:rsidRDefault="00586688" w:rsidP="00B41945">
            <w:r>
              <w:t>Parishes in Durham City</w:t>
            </w:r>
          </w:p>
        </w:tc>
      </w:tr>
      <w:tr w:rsidR="00B41945" w14:paraId="3E9D0EE2" w14:textId="77777777" w:rsidTr="00586688">
        <w:tc>
          <w:tcPr>
            <w:tcW w:w="3256" w:type="dxa"/>
            <w:shd w:val="clear" w:color="auto" w:fill="C1E4F5" w:themeFill="accent1" w:themeFillTint="33"/>
          </w:tcPr>
          <w:p w14:paraId="72940E80" w14:textId="44BF9943" w:rsidR="00B41945" w:rsidRDefault="00B41945" w:rsidP="00B41945">
            <w:r>
              <w:t>St. Oswald’s</w:t>
            </w:r>
          </w:p>
        </w:tc>
        <w:tc>
          <w:tcPr>
            <w:tcW w:w="2754" w:type="dxa"/>
            <w:shd w:val="clear" w:color="auto" w:fill="C1E4F5" w:themeFill="accent1" w:themeFillTint="33"/>
          </w:tcPr>
          <w:p w14:paraId="34FD4168" w14:textId="3FF8FDFE" w:rsidR="00B41945" w:rsidRDefault="00B41945" w:rsidP="00B41945">
            <w:r>
              <w:t>Jan 1800</w:t>
            </w:r>
          </w:p>
        </w:tc>
        <w:tc>
          <w:tcPr>
            <w:tcW w:w="3006" w:type="dxa"/>
            <w:shd w:val="clear" w:color="auto" w:fill="C1E4F5" w:themeFill="accent1" w:themeFillTint="33"/>
          </w:tcPr>
          <w:p w14:paraId="72C304D3" w14:textId="3E2D74CC" w:rsidR="00B41945" w:rsidRDefault="00B41945" w:rsidP="00B41945">
            <w:r>
              <w:t>Dec 19</w:t>
            </w:r>
            <w:r w:rsidR="00CC0E97">
              <w:t>20</w:t>
            </w:r>
          </w:p>
        </w:tc>
      </w:tr>
      <w:tr w:rsidR="00B41945" w14:paraId="6952DA6A" w14:textId="77777777" w:rsidTr="00586688">
        <w:tc>
          <w:tcPr>
            <w:tcW w:w="3256" w:type="dxa"/>
            <w:shd w:val="clear" w:color="auto" w:fill="C1E4F5" w:themeFill="accent1" w:themeFillTint="33"/>
          </w:tcPr>
          <w:p w14:paraId="2A50D43C" w14:textId="3FED7E87" w:rsidR="00B41945" w:rsidRDefault="00B41945" w:rsidP="00B41945">
            <w:r>
              <w:t>St. Cuthbert’s</w:t>
            </w:r>
          </w:p>
        </w:tc>
        <w:tc>
          <w:tcPr>
            <w:tcW w:w="2754" w:type="dxa"/>
            <w:shd w:val="clear" w:color="auto" w:fill="C1E4F5" w:themeFill="accent1" w:themeFillTint="33"/>
          </w:tcPr>
          <w:p w14:paraId="79EADD5B" w14:textId="30162950" w:rsidR="00B41945" w:rsidRDefault="00B150C0" w:rsidP="00B41945">
            <w:r>
              <w:t>Sept</w:t>
            </w:r>
            <w:r w:rsidR="00B41945">
              <w:t xml:space="preserve"> 1863</w:t>
            </w:r>
          </w:p>
        </w:tc>
        <w:tc>
          <w:tcPr>
            <w:tcW w:w="3006" w:type="dxa"/>
            <w:shd w:val="clear" w:color="auto" w:fill="C1E4F5" w:themeFill="accent1" w:themeFillTint="33"/>
          </w:tcPr>
          <w:p w14:paraId="423AEAEA" w14:textId="08204042" w:rsidR="00B41945" w:rsidRDefault="00B41945" w:rsidP="00B41945">
            <w:r>
              <w:t>Dec 19</w:t>
            </w:r>
            <w:r w:rsidR="00B150C0">
              <w:t>20</w:t>
            </w:r>
          </w:p>
        </w:tc>
      </w:tr>
      <w:tr w:rsidR="00B41945" w14:paraId="7B640615" w14:textId="77777777" w:rsidTr="00586688">
        <w:tc>
          <w:tcPr>
            <w:tcW w:w="3256" w:type="dxa"/>
            <w:shd w:val="clear" w:color="auto" w:fill="C1E4F5" w:themeFill="accent1" w:themeFillTint="33"/>
          </w:tcPr>
          <w:p w14:paraId="2A91F252" w14:textId="033DB89C" w:rsidR="00B41945" w:rsidRDefault="00B41945" w:rsidP="00B41945">
            <w:r>
              <w:t>St. Giles</w:t>
            </w:r>
          </w:p>
        </w:tc>
        <w:tc>
          <w:tcPr>
            <w:tcW w:w="2754" w:type="dxa"/>
            <w:shd w:val="clear" w:color="auto" w:fill="C1E4F5" w:themeFill="accent1" w:themeFillTint="33"/>
          </w:tcPr>
          <w:p w14:paraId="3C09F726" w14:textId="43E0F671" w:rsidR="00B41945" w:rsidRDefault="00B41945" w:rsidP="00B41945">
            <w:r>
              <w:t>Jan 1</w:t>
            </w:r>
            <w:r w:rsidR="00B150C0">
              <w:t>800</w:t>
            </w:r>
          </w:p>
        </w:tc>
        <w:tc>
          <w:tcPr>
            <w:tcW w:w="3006" w:type="dxa"/>
            <w:shd w:val="clear" w:color="auto" w:fill="C1E4F5" w:themeFill="accent1" w:themeFillTint="33"/>
          </w:tcPr>
          <w:p w14:paraId="655B51F5" w14:textId="71DCD094" w:rsidR="00B41945" w:rsidRDefault="00B150C0" w:rsidP="00B41945">
            <w:r>
              <w:t>Dec 1920</w:t>
            </w:r>
          </w:p>
        </w:tc>
      </w:tr>
      <w:tr w:rsidR="00B41945" w14:paraId="5834FEA1" w14:textId="77777777" w:rsidTr="00586688">
        <w:tc>
          <w:tcPr>
            <w:tcW w:w="3256" w:type="dxa"/>
            <w:shd w:val="clear" w:color="auto" w:fill="C1E4F5" w:themeFill="accent1" w:themeFillTint="33"/>
          </w:tcPr>
          <w:p w14:paraId="474A4AEA" w14:textId="1FDE1CAA" w:rsidR="00B41945" w:rsidRDefault="00410FBE" w:rsidP="00B41945">
            <w:r>
              <w:t>St Mary the Less</w:t>
            </w:r>
          </w:p>
        </w:tc>
        <w:tc>
          <w:tcPr>
            <w:tcW w:w="2754" w:type="dxa"/>
            <w:shd w:val="clear" w:color="auto" w:fill="C1E4F5" w:themeFill="accent1" w:themeFillTint="33"/>
          </w:tcPr>
          <w:p w14:paraId="0828D372" w14:textId="43C512BF" w:rsidR="00B41945" w:rsidRDefault="00410FBE" w:rsidP="00B41945">
            <w:r>
              <w:t>Jan 18</w:t>
            </w:r>
            <w:r w:rsidR="00F61492">
              <w:t>0</w:t>
            </w:r>
            <w:r>
              <w:t>0</w:t>
            </w:r>
          </w:p>
        </w:tc>
        <w:tc>
          <w:tcPr>
            <w:tcW w:w="3006" w:type="dxa"/>
            <w:shd w:val="clear" w:color="auto" w:fill="C1E4F5" w:themeFill="accent1" w:themeFillTint="33"/>
          </w:tcPr>
          <w:p w14:paraId="21446720" w14:textId="7BBD01F7" w:rsidR="00B41945" w:rsidRDefault="00410FBE" w:rsidP="00B41945">
            <w:r>
              <w:t>Jun 1917</w:t>
            </w:r>
          </w:p>
        </w:tc>
      </w:tr>
      <w:tr w:rsidR="00B41945" w14:paraId="461E6707" w14:textId="77777777" w:rsidTr="00586688">
        <w:tc>
          <w:tcPr>
            <w:tcW w:w="3256" w:type="dxa"/>
            <w:shd w:val="clear" w:color="auto" w:fill="C1E4F5" w:themeFill="accent1" w:themeFillTint="33"/>
          </w:tcPr>
          <w:p w14:paraId="041955B0" w14:textId="2088E41A" w:rsidR="00B41945" w:rsidRDefault="00410FBE" w:rsidP="00B41945">
            <w:r>
              <w:t xml:space="preserve">St Mary </w:t>
            </w:r>
            <w:proofErr w:type="spellStart"/>
            <w:r>
              <w:t>le</w:t>
            </w:r>
            <w:proofErr w:type="spellEnd"/>
            <w:r>
              <w:t xml:space="preserve"> Bow</w:t>
            </w:r>
          </w:p>
        </w:tc>
        <w:tc>
          <w:tcPr>
            <w:tcW w:w="2754" w:type="dxa"/>
            <w:shd w:val="clear" w:color="auto" w:fill="C1E4F5" w:themeFill="accent1" w:themeFillTint="33"/>
          </w:tcPr>
          <w:p w14:paraId="5AF8E354" w14:textId="56942BFE" w:rsidR="00B41945" w:rsidRDefault="00410FBE" w:rsidP="00B41945">
            <w:r>
              <w:t>Jan 18</w:t>
            </w:r>
            <w:r w:rsidR="00F61492">
              <w:t>00</w:t>
            </w:r>
          </w:p>
        </w:tc>
        <w:tc>
          <w:tcPr>
            <w:tcW w:w="3006" w:type="dxa"/>
            <w:shd w:val="clear" w:color="auto" w:fill="C1E4F5" w:themeFill="accent1" w:themeFillTint="33"/>
          </w:tcPr>
          <w:p w14:paraId="1935F5AB" w14:textId="45906C02" w:rsidR="00B41945" w:rsidRDefault="00410FBE" w:rsidP="00B41945">
            <w:r>
              <w:t>Dec 19</w:t>
            </w:r>
            <w:r w:rsidR="00CC0E97">
              <w:t>20</w:t>
            </w:r>
          </w:p>
        </w:tc>
      </w:tr>
      <w:tr w:rsidR="00CC0E97" w14:paraId="4E55DBC9" w14:textId="77777777" w:rsidTr="00586688">
        <w:tc>
          <w:tcPr>
            <w:tcW w:w="3256" w:type="dxa"/>
            <w:shd w:val="clear" w:color="auto" w:fill="C1E4F5" w:themeFill="accent1" w:themeFillTint="33"/>
          </w:tcPr>
          <w:p w14:paraId="641AB997" w14:textId="4011C026" w:rsidR="00CC0E97" w:rsidRDefault="00CC0E97" w:rsidP="00B41945">
            <w:r>
              <w:t>St Nicholas</w:t>
            </w:r>
          </w:p>
        </w:tc>
        <w:tc>
          <w:tcPr>
            <w:tcW w:w="2754" w:type="dxa"/>
            <w:shd w:val="clear" w:color="auto" w:fill="C1E4F5" w:themeFill="accent1" w:themeFillTint="33"/>
          </w:tcPr>
          <w:p w14:paraId="704EB948" w14:textId="349F8A7A" w:rsidR="00CC0E97" w:rsidRDefault="00CC0E97" w:rsidP="00B41945">
            <w:r>
              <w:t>Jan 1800</w:t>
            </w:r>
          </w:p>
        </w:tc>
        <w:tc>
          <w:tcPr>
            <w:tcW w:w="3006" w:type="dxa"/>
            <w:shd w:val="clear" w:color="auto" w:fill="C1E4F5" w:themeFill="accent1" w:themeFillTint="33"/>
          </w:tcPr>
          <w:p w14:paraId="172700C9" w14:textId="05DD2F9A" w:rsidR="00CC0E97" w:rsidRDefault="00CC0E97" w:rsidP="00B41945">
            <w:r>
              <w:t>Dec 1927</w:t>
            </w:r>
          </w:p>
        </w:tc>
      </w:tr>
      <w:tr w:rsidR="00586688" w14:paraId="4BB8CE4B" w14:textId="77777777" w:rsidTr="00586688">
        <w:tc>
          <w:tcPr>
            <w:tcW w:w="9016" w:type="dxa"/>
            <w:gridSpan w:val="3"/>
            <w:shd w:val="clear" w:color="auto" w:fill="C1F0C7" w:themeFill="accent3" w:themeFillTint="33"/>
          </w:tcPr>
          <w:p w14:paraId="226D072B" w14:textId="7DA449F2" w:rsidR="00586688" w:rsidRDefault="00586688" w:rsidP="00B41945">
            <w:r>
              <w:t xml:space="preserve">Parishes </w:t>
            </w:r>
            <w:proofErr w:type="spellStart"/>
            <w:r>
              <w:t>outwith</w:t>
            </w:r>
            <w:proofErr w:type="spellEnd"/>
            <w:r>
              <w:t xml:space="preserve"> Durham City</w:t>
            </w:r>
          </w:p>
        </w:tc>
      </w:tr>
      <w:tr w:rsidR="00586688" w14:paraId="10B66E28" w14:textId="77777777" w:rsidTr="00586688">
        <w:tc>
          <w:tcPr>
            <w:tcW w:w="3256" w:type="dxa"/>
            <w:shd w:val="clear" w:color="auto" w:fill="C1F0C7" w:themeFill="accent3" w:themeFillTint="33"/>
          </w:tcPr>
          <w:p w14:paraId="7A71DD45" w14:textId="69D381D4" w:rsidR="00586688" w:rsidRDefault="00586688" w:rsidP="00B41945">
            <w:r>
              <w:t xml:space="preserve">St Mary the Virgin, </w:t>
            </w:r>
            <w:proofErr w:type="spellStart"/>
            <w:r>
              <w:t>Shincliffe</w:t>
            </w:r>
            <w:proofErr w:type="spellEnd"/>
          </w:p>
        </w:tc>
        <w:tc>
          <w:tcPr>
            <w:tcW w:w="2754" w:type="dxa"/>
            <w:shd w:val="clear" w:color="auto" w:fill="C1F0C7" w:themeFill="accent3" w:themeFillTint="33"/>
          </w:tcPr>
          <w:p w14:paraId="7D42A702" w14:textId="6D5D005F" w:rsidR="00586688" w:rsidRDefault="00586688" w:rsidP="00B41945">
            <w:r>
              <w:t>Jan 1870</w:t>
            </w:r>
          </w:p>
        </w:tc>
        <w:tc>
          <w:tcPr>
            <w:tcW w:w="3006" w:type="dxa"/>
            <w:shd w:val="clear" w:color="auto" w:fill="C1F0C7" w:themeFill="accent3" w:themeFillTint="33"/>
          </w:tcPr>
          <w:p w14:paraId="010DFD2E" w14:textId="03E446AB" w:rsidR="00586688" w:rsidRDefault="00586688" w:rsidP="00B41945">
            <w:r>
              <w:t>Dec 1933</w:t>
            </w:r>
          </w:p>
        </w:tc>
      </w:tr>
      <w:tr w:rsidR="0077518C" w14:paraId="17C92BD1" w14:textId="77777777" w:rsidTr="00586688">
        <w:tc>
          <w:tcPr>
            <w:tcW w:w="3256" w:type="dxa"/>
            <w:shd w:val="clear" w:color="auto" w:fill="C1F0C7" w:themeFill="accent3" w:themeFillTint="33"/>
          </w:tcPr>
          <w:p w14:paraId="0BCEECA4" w14:textId="4D7B0BF9" w:rsidR="0077518C" w:rsidRDefault="00893F74" w:rsidP="00B41945">
            <w:r>
              <w:t>St Mary, Seaham</w:t>
            </w:r>
          </w:p>
        </w:tc>
        <w:tc>
          <w:tcPr>
            <w:tcW w:w="2754" w:type="dxa"/>
            <w:shd w:val="clear" w:color="auto" w:fill="C1F0C7" w:themeFill="accent3" w:themeFillTint="33"/>
          </w:tcPr>
          <w:p w14:paraId="1C58F771" w14:textId="48A0D06E" w:rsidR="0077518C" w:rsidRDefault="00893F74" w:rsidP="00B41945">
            <w:r>
              <w:t>Jan 1799</w:t>
            </w:r>
          </w:p>
        </w:tc>
        <w:tc>
          <w:tcPr>
            <w:tcW w:w="3006" w:type="dxa"/>
            <w:shd w:val="clear" w:color="auto" w:fill="C1F0C7" w:themeFill="accent3" w:themeFillTint="33"/>
          </w:tcPr>
          <w:p w14:paraId="1C1975CE" w14:textId="45D0A5EA" w:rsidR="0077518C" w:rsidRDefault="00893F74" w:rsidP="00B41945">
            <w:r>
              <w:t>Dec 1941</w:t>
            </w:r>
          </w:p>
        </w:tc>
      </w:tr>
    </w:tbl>
    <w:p w14:paraId="4AF9BC83" w14:textId="6C96777E" w:rsidR="00517A4A" w:rsidRDefault="00815B91" w:rsidP="00815B91">
      <w:pPr>
        <w:pStyle w:val="Heading2"/>
      </w:pPr>
      <w:r>
        <w:lastRenderedPageBreak/>
        <w:t xml:space="preserve">Limitations of the </w:t>
      </w:r>
      <w:r w:rsidR="008B326E">
        <w:t xml:space="preserve">parish </w:t>
      </w:r>
      <w:r>
        <w:t>data</w:t>
      </w:r>
    </w:p>
    <w:p w14:paraId="4CFADC30" w14:textId="27461B2A" w:rsidR="00815B91" w:rsidRDefault="00815B91" w:rsidP="00815B91">
      <w:pPr>
        <w:pStyle w:val="ListParagraph"/>
        <w:numPr>
          <w:ilvl w:val="0"/>
          <w:numId w:val="1"/>
        </w:numPr>
      </w:pPr>
      <w:r>
        <w:t xml:space="preserve">These figures have not been checked independently, so may contain a few errors. Researchers are </w:t>
      </w:r>
      <w:r w:rsidR="00F222DF">
        <w:t xml:space="preserve">encouraged </w:t>
      </w:r>
      <w:r>
        <w:t>to</w:t>
      </w:r>
      <w:r w:rsidR="00F222DF">
        <w:t xml:space="preserve"> create their own data files</w:t>
      </w:r>
      <w:r>
        <w:t xml:space="preserve"> </w:t>
      </w:r>
      <w:r w:rsidR="0077518C">
        <w:t xml:space="preserve">and </w:t>
      </w:r>
      <w:r w:rsidR="00F222DF">
        <w:t xml:space="preserve">compare both sets of data </w:t>
      </w:r>
      <w:r w:rsidR="0077518C">
        <w:t>to identify errors</w:t>
      </w:r>
      <w:r>
        <w:t>.</w:t>
      </w:r>
      <w:r w:rsidR="00976AE0">
        <w:t xml:space="preserve"> i.e. double entry and verification. This can be done use software packages such as Excel.</w:t>
      </w:r>
    </w:p>
    <w:p w14:paraId="5CDAED13" w14:textId="64FDB20D" w:rsidR="00815B91" w:rsidRDefault="00815B91" w:rsidP="00815B91">
      <w:pPr>
        <w:pStyle w:val="ListParagraph"/>
        <w:numPr>
          <w:ilvl w:val="0"/>
          <w:numId w:val="1"/>
        </w:numPr>
      </w:pPr>
      <w:r>
        <w:t>The data is most reliable up to 1920, after which the country became more secular and fewer baptisms took place and burials may have occurred outside the parish.</w:t>
      </w:r>
    </w:p>
    <w:p w14:paraId="3256BE96" w14:textId="0E9F145C" w:rsidR="00815B91" w:rsidRDefault="00815B91" w:rsidP="00815B91">
      <w:pPr>
        <w:pStyle w:val="ListParagraph"/>
        <w:numPr>
          <w:ilvl w:val="0"/>
          <w:numId w:val="1"/>
        </w:numPr>
      </w:pPr>
      <w:r>
        <w:t>It is likely that deaths of men of fighting age were not recorded or under recorded during the Great War from 1914-18.</w:t>
      </w:r>
    </w:p>
    <w:p w14:paraId="5DEF74B0" w14:textId="36C04C83" w:rsidR="00815B91" w:rsidRDefault="00815B91" w:rsidP="00815B91">
      <w:pPr>
        <w:pStyle w:val="ListParagraph"/>
        <w:numPr>
          <w:ilvl w:val="0"/>
          <w:numId w:val="1"/>
        </w:numPr>
      </w:pPr>
      <w:r>
        <w:t xml:space="preserve">Although records are available before 1850 there are missing records and even when </w:t>
      </w:r>
      <w:r w:rsidR="0077518C">
        <w:t>the original parish records are</w:t>
      </w:r>
      <w:r>
        <w:t xml:space="preserve"> present the handwriting can be difficult to </w:t>
      </w:r>
      <w:r w:rsidR="0077518C">
        <w:t>read</w:t>
      </w:r>
      <w:r>
        <w:t>.</w:t>
      </w:r>
    </w:p>
    <w:p w14:paraId="20119BFB" w14:textId="24470321" w:rsidR="00815B91" w:rsidRDefault="00815B91" w:rsidP="00815B91">
      <w:pPr>
        <w:pStyle w:val="ListParagraph"/>
        <w:numPr>
          <w:ilvl w:val="0"/>
          <w:numId w:val="1"/>
        </w:numPr>
      </w:pPr>
      <w:r>
        <w:t>Sometimes it is impossible to ascertain the sex of a person with a name that can be used for a female as well as a male e.g. Vivian.</w:t>
      </w:r>
    </w:p>
    <w:p w14:paraId="437F87E6" w14:textId="4C69A3C5" w:rsidR="00815B91" w:rsidRDefault="00815B91" w:rsidP="00815B91">
      <w:pPr>
        <w:pStyle w:val="Heading2"/>
      </w:pPr>
      <w:r>
        <w:t>Who collated the data?</w:t>
      </w:r>
    </w:p>
    <w:p w14:paraId="7742EBB2" w14:textId="009D2A08" w:rsidR="00815B91" w:rsidRPr="00815B91" w:rsidRDefault="00815B91" w:rsidP="00815B91">
      <w:r>
        <w:t xml:space="preserve">The data in the excel spreadsheet and this information was authored by Emeritus Professor Steve Lindsay from the Department of Biosciences in </w:t>
      </w:r>
      <w:r w:rsidR="00586688">
        <w:t>June</w:t>
      </w:r>
      <w:r>
        <w:t xml:space="preserve"> 2026.</w:t>
      </w:r>
    </w:p>
    <w:sectPr w:rsidR="00815B91" w:rsidRPr="00815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5D30"/>
    <w:multiLevelType w:val="hybridMultilevel"/>
    <w:tmpl w:val="D75C7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6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45"/>
    <w:rsid w:val="0013013F"/>
    <w:rsid w:val="002B7567"/>
    <w:rsid w:val="00410FBE"/>
    <w:rsid w:val="00517A4A"/>
    <w:rsid w:val="00523372"/>
    <w:rsid w:val="00586688"/>
    <w:rsid w:val="006D3E3D"/>
    <w:rsid w:val="0077518C"/>
    <w:rsid w:val="007F4285"/>
    <w:rsid w:val="00815B91"/>
    <w:rsid w:val="00893F74"/>
    <w:rsid w:val="008B326E"/>
    <w:rsid w:val="00976AE0"/>
    <w:rsid w:val="009C5124"/>
    <w:rsid w:val="00B071E2"/>
    <w:rsid w:val="00B150C0"/>
    <w:rsid w:val="00B41945"/>
    <w:rsid w:val="00C74F6E"/>
    <w:rsid w:val="00CC0E97"/>
    <w:rsid w:val="00F222DF"/>
    <w:rsid w:val="00F6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EAC9"/>
  <w15:chartTrackingRefBased/>
  <w15:docId w15:val="{B79A2DA9-6E8B-4AB8-9B51-69A8D245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STEVE</dc:creator>
  <cp:keywords/>
  <dc:description/>
  <cp:lastModifiedBy>LINDSAY, STEVE</cp:lastModifiedBy>
  <cp:revision>6</cp:revision>
  <dcterms:created xsi:type="dcterms:W3CDTF">2026-06-01T13:43:00Z</dcterms:created>
  <dcterms:modified xsi:type="dcterms:W3CDTF">2026-06-01T15:42:00Z</dcterms:modified>
</cp:coreProperties>
</file>